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left w:val="single" w:sz="4" w:space="0" w:color="000000"/>
          <w:right w:val="single" w:sz="4" w:space="0" w:color="000000"/>
        </w:pBdr>
        <w:jc w:val="center"/>
        <w:rPr>
          <w:rFonts w:ascii="Arial" w:hAnsi="Arial" w:cs="Arial"/>
          <w:b/>
          <w:bCs/>
        </w:rPr>
      </w:pPr>
      <w:r>
        <w:rPr>
          <w:rFonts w:cs="Arial" w:ascii="Arial" w:hAnsi="Arial"/>
          <w:b/>
          <w:bCs/>
        </w:rPr>
      </w:r>
    </w:p>
    <w:p>
      <w:pPr>
        <w:pStyle w:val="Standard"/>
        <w:pBdr>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EndnoteText"/>
        <w:jc w:val="center"/>
        <w:rPr>
          <w:b/>
          <w:bCs/>
          <w:color w:val="auto"/>
          <w:sz w:val="28"/>
          <w:szCs w:val="28"/>
        </w:rPr>
      </w:pPr>
      <w:r>
        <w:rPr>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t>ANNEXE AE 3</w:t>
        <w:br/>
        <w:t>(Lot N°1)</w:t>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color w:val="auto"/>
          <w:sz w:val="28"/>
          <w:szCs w:val="28"/>
        </w:rPr>
      </w:pPr>
      <w:r>
        <w:rPr>
          <w:rFonts w:cs="Arial" w:ascii="Arial" w:hAnsi="Arial"/>
          <w:b/>
          <w:bCs/>
          <w:color w:themeColor="text2" w:themeShade="80" w:val="auto"/>
          <w:sz w:val="28"/>
          <w:szCs w:val="28"/>
        </w:rPr>
        <w:t>Questionnaire sur la traçabilité sociale des chaînes d'approvisionnement</w:t>
      </w:r>
    </w:p>
    <w:p>
      <w:pPr>
        <w:pStyle w:val="EndnoteText"/>
        <w:jc w:val="center"/>
        <w:rPr>
          <w:color w:val="auto"/>
          <w:sz w:val="28"/>
          <w:szCs w:val="28"/>
        </w:rPr>
      </w:pPr>
      <w:r>
        <w:rPr>
          <w:color w:themeColor="text2" w:themeShade="80" w:val="auto"/>
          <w:sz w:val="28"/>
          <w:szCs w:val="28"/>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rPr>
          <w:rFonts w:ascii="Arial" w:hAnsi="Arial" w:cs="Arial"/>
          <w:color w:val="auto"/>
          <w:szCs w:val="20"/>
        </w:rPr>
      </w:pPr>
      <w:r>
        <w:rPr>
          <w:rFonts w:cs="Arial" w:ascii="Arial" w:hAnsi="Arial"/>
          <w:szCs w:val="20"/>
        </w:rPr>
        <w:t>L</w:t>
      </w:r>
      <w:r>
        <w:rPr>
          <w:rFonts w:cs="Arial" w:ascii="Arial" w:hAnsi="Arial"/>
          <w:color w:themeColor="text2" w:themeShade="80" w:val="auto"/>
          <w:szCs w:val="20"/>
        </w:rPr>
        <w:t>es soumissionnaires sont invités à renseigner le questionnaire ci-dessous dénommé "Cadre de réponse sur la traçabilité sociale des chaînes d’approvisionnement"</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Les éléments de réponse apportés doivent être clairs, fiables, transparents et documentés.</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 xml:space="preserve">L'attention des soumissionnaires est attirée sur le caractère informatif des réponses mentionnées dans ce document. </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Si le renseignement du tableau n’est pas obligatoire pour les soumissionnaires,</w:t>
      </w:r>
      <w:r>
        <w:rPr>
          <w:rFonts w:cs="Arial" w:ascii="Arial" w:hAnsi="Arial"/>
          <w:b/>
          <w:color w:themeColor="text2" w:themeShade="80" w:val="auto"/>
          <w:szCs w:val="20"/>
        </w:rPr>
        <w:t xml:space="preserve"> en cas d’attribution du marché, le Titulaire est tenu de renseigner le questionnaire et de le fournir à l’Acheteur dans un délai d’un (01) mois suivant la notification du marché. </w:t>
      </w:r>
      <w:r>
        <w:rPr>
          <w:rFonts w:cs="Arial" w:ascii="Arial" w:hAnsi="Arial"/>
          <w:color w:themeColor="text2" w:themeShade="80" w:val="auto"/>
          <w:szCs w:val="20"/>
        </w:rPr>
        <w:t>Ces informations deviennent alors contractuelles (voir article 9.2 du CCTP).</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Quand l’information n’est pas disponible, le candidat indique « non maîtrisé » à la question concernée.</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Exemples de moyens de preuve / documentation (liste non exhaustive):</w:t>
      </w:r>
    </w:p>
    <w:p>
      <w:pPr>
        <w:pStyle w:val="EndnoteText"/>
        <w:numPr>
          <w:ilvl w:val="0"/>
          <w:numId w:val="1"/>
        </w:numPr>
        <w:rPr>
          <w:rFonts w:ascii="Arial" w:hAnsi="Arial" w:cs="Arial"/>
          <w:color w:val="auto"/>
        </w:rPr>
      </w:pPr>
      <w:r>
        <w:rPr>
          <w:rFonts w:cs="Arial" w:ascii="Arial" w:hAnsi="Arial"/>
          <w:color w:themeColor="text2" w:themeShade="80" w:val="auto"/>
        </w:rPr>
        <w:t>Pour les candidats soumis à la loi sur le devoir de vigilance des sociétés mères et des entreprises donneuses d’ordre, plan de vigilance et rapport de suivi dans sa mise en œuvre (</w:t>
      </w:r>
      <w:r>
        <w:rPr>
          <w:rFonts w:cs="Arial" w:ascii="Arial" w:hAnsi="Arial"/>
          <w:i/>
          <w:iCs/>
          <w:color w:themeColor="text2" w:themeShade="80" w:val="auto"/>
        </w:rPr>
        <w:t xml:space="preserve">réf: </w:t>
      </w:r>
      <w:hyperlink r:id="rId2">
        <w:r>
          <w:rPr>
            <w:rStyle w:val="Hyperlink"/>
            <w:rFonts w:cs="Arial" w:ascii="Arial" w:hAnsi="Arial"/>
            <w:i/>
            <w:iCs/>
          </w:rPr>
          <w:t>https://www.legifrance.gouv.fr/affichTexte.do?cidTexte=JORFTEXT000034290626&amp;categorieLien=id</w:t>
        </w:r>
      </w:hyperlink>
      <w:r>
        <w:rPr>
          <w:rFonts w:cs="Arial" w:ascii="Arial" w:hAnsi="Arial"/>
          <w:i/>
          <w:iCs/>
          <w:color w:themeColor="text2" w:themeShade="80" w:val="auto"/>
        </w:rPr>
        <w:t>)</w:t>
      </w:r>
    </w:p>
    <w:p>
      <w:pPr>
        <w:pStyle w:val="EndnoteText"/>
        <w:numPr>
          <w:ilvl w:val="0"/>
          <w:numId w:val="1"/>
        </w:numPr>
        <w:rPr>
          <w:rFonts w:ascii="Arial" w:hAnsi="Arial" w:cs="Arial"/>
          <w:color w:val="auto"/>
        </w:rPr>
      </w:pPr>
      <w:r>
        <w:rPr>
          <w:rFonts w:cs="Arial" w:ascii="Arial" w:hAnsi="Arial"/>
          <w:color w:themeColor="text2" w:themeShade="80" w:val="auto"/>
        </w:rPr>
        <w:t>Certifications (ex: SA 8000), attestation d'organismes tierces indépendants, adhésion à des initiatives sectorielles multipartites</w:t>
      </w:r>
    </w:p>
    <w:p>
      <w:pPr>
        <w:pStyle w:val="EndnoteText"/>
        <w:numPr>
          <w:ilvl w:val="0"/>
          <w:numId w:val="1"/>
        </w:numPr>
        <w:rPr>
          <w:rFonts w:ascii="Arial" w:hAnsi="Arial" w:cs="Arial"/>
          <w:color w:val="auto"/>
        </w:rPr>
      </w:pPr>
      <w:r>
        <w:rPr>
          <w:rFonts w:cs="Arial" w:ascii="Arial" w:hAnsi="Arial"/>
          <w:color w:themeColor="text2" w:themeShade="80" w:val="auto"/>
        </w:rPr>
        <w:t>Rapport d'audit interne, déclaration des fabricants, codes de conduite</w:t>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EndnoteText"/>
        <w:ind w:left="720"/>
        <w:rPr>
          <w:color w:val="auto"/>
        </w:rPr>
      </w:pPr>
      <w:r>
        <w:rPr>
          <w:color w:themeColor="text2" w:themeShade="80" w:val="auto"/>
        </w:rPr>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974"/>
        <w:gridCol w:w="4973"/>
      </w:tblGrid>
      <w:tr>
        <w:trPr>
          <w:trHeight w:val="490" w:hRule="atLeast"/>
        </w:trPr>
        <w:tc>
          <w:tcPr>
            <w:tcW w:w="4974" w:type="dxa"/>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Raison sociale du titulaire :</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tcBorders/>
          </w:tcPr>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r>
        <w:trPr>
          <w:trHeight w:val="490" w:hRule="atLeast"/>
        </w:trPr>
        <w:tc>
          <w:tcPr>
            <w:tcW w:w="4974" w:type="dxa"/>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Systèmes d’impression concernés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p>
            <w:pPr>
              <w:pStyle w:val="Normal"/>
              <w:widowControl/>
              <w:suppressAutoHyphens w:val="true"/>
              <w:spacing w:before="0" w:after="100"/>
              <w:contextualSpacing/>
              <w:rPr>
                <w:rFonts w:ascii="Arial" w:hAnsi="Arial" w:cs="Arial"/>
                <w:b/>
                <w:i/>
                <w:i/>
                <w:color w:val="auto"/>
                <w:szCs w:val="20"/>
              </w:rPr>
            </w:pPr>
            <w:r>
              <w:rPr>
                <w:rFonts w:eastAsia="Calibri" w:cs="Arial" w:ascii="Arial" w:hAnsi="Arial"/>
                <w:b/>
                <w:i/>
                <w:color w:themeColor="text2" w:themeShade="80" w:val="auto"/>
                <w:kern w:val="0"/>
                <w:szCs w:val="20"/>
                <w:lang w:val="fr-FR" w:eastAsia="en-US" w:bidi="ar-SA"/>
              </w:rPr>
              <w:t>(cocher la/les case(s) – joindre un questionnaire distinct si des réponses différentes sont nécessaire selon les configurations)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tcBorders/>
          </w:tcPr>
          <w:p>
            <w:pPr>
              <w:pStyle w:val="Normal"/>
              <w:widowControl/>
              <w:suppressAutoHyphens w:val="true"/>
              <w:spacing w:before="0" w:after="100"/>
              <w:contextualSpacing/>
              <w:rPr>
                <w:rFonts w:ascii="Arial" w:hAnsi="Arial" w:cs="Arial"/>
                <w:color w:val="auto"/>
                <w:szCs w:val="20"/>
              </w:rPr>
            </w:pPr>
            <w:sdt>
              <w:sdtPr>
                <w:id w:val="-1749108652"/>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color w:themeColor="text2" w:themeShade="80" w:val="auto"/>
                <w:kern w:val="0"/>
                <w:szCs w:val="20"/>
                <w:lang w:val="fr-FR" w:eastAsia="en-US" w:bidi="ar-SA"/>
              </w:rPr>
              <w:t>N1A</w:t>
            </w:r>
          </w:p>
          <w:p>
            <w:pPr>
              <w:pStyle w:val="Normal"/>
              <w:widowControl/>
              <w:suppressAutoHyphens w:val="true"/>
              <w:spacing w:before="0" w:after="100"/>
              <w:contextualSpacing/>
              <w:rPr>
                <w:rFonts w:ascii="Arial" w:hAnsi="Arial" w:cs="Arial"/>
                <w:color w:val="auto"/>
                <w:szCs w:val="20"/>
              </w:rPr>
            </w:pPr>
            <w:sdt>
              <w:sdtPr>
                <w:id w:val="-2102244222"/>
                <w14:checkbox>
                  <w14:checked w14:val="0"/>
                  <w14:checkedState w14:val="2612"/>
                  <w14:uncheckedState w14:val="2610"/>
                </w14:checkbox>
              </w:sdtPr>
              <w:sdtContent>
                <w:r>
                  <w:rPr>
                    <w:rFonts w:eastAsia="MS Gothic" w:cs="Segoe UI Symbol" w:ascii="Segoe UI Symbol" w:hAnsi="Segoe UI Symbol"/>
                    <w:kern w:val="0"/>
                    <w:szCs w:val="20"/>
                    <w:lang w:val="fr-FR" w:eastAsia="en-US" w:bidi="ar-SA"/>
                  </w:rPr>
                </w:r>
                <w:r>
                  <w:rPr>
                    <w:rFonts w:eastAsia="MS Gothic" w:cs="Segoe UI Symbol" w:ascii="Segoe UI Symbol" w:hAnsi="Segoe UI Symbol"/>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color w:themeColor="text2" w:themeShade="80" w:val="auto"/>
                <w:kern w:val="0"/>
                <w:szCs w:val="20"/>
                <w:lang w:val="fr-FR" w:eastAsia="en-US" w:bidi="ar-SA"/>
              </w:rPr>
              <w:t>N1B</w:t>
            </w:r>
          </w:p>
          <w:p>
            <w:pPr>
              <w:pStyle w:val="Normal"/>
              <w:widowControl/>
              <w:suppressAutoHyphens w:val="true"/>
              <w:spacing w:before="0" w:after="100"/>
              <w:contextualSpacing/>
              <w:rPr>
                <w:rFonts w:ascii="Arial" w:hAnsi="Arial" w:cs="Arial"/>
                <w:color w:val="auto"/>
                <w:szCs w:val="20"/>
              </w:rPr>
            </w:pPr>
            <w:sdt>
              <w:sdtPr>
                <w:id w:val="918686447"/>
                <w14:checkbox>
                  <w14:checked w14:val="0"/>
                  <w14:checkedState w14:val="2612"/>
                  <w14:uncheckedState w14:val="2610"/>
                </w14:checkbox>
              </w:sdtPr>
              <w:sdtContent>
                <w:r>
                  <w:rPr>
                    <w:rFonts w:eastAsia="MS Gothic" w:cs="Segoe UI Symbol" w:ascii="Segoe UI Symbol" w:hAnsi="Segoe UI Symbol"/>
                    <w:kern w:val="0"/>
                    <w:szCs w:val="20"/>
                    <w:lang w:val="fr-FR" w:eastAsia="en-US" w:bidi="ar-SA"/>
                  </w:rPr>
                </w:r>
                <w:r>
                  <w:rPr>
                    <w:rFonts w:eastAsia="MS Gothic" w:cs="Segoe UI Symbol" w:ascii="Segoe UI Symbol" w:hAnsi="Segoe UI Symbol"/>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C1A</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bl>
    <w:p>
      <w:pPr>
        <w:pStyle w:val="Normal"/>
        <w:rPr/>
      </w:pPr>
      <w:r>
        <w:rPr/>
      </w:r>
      <w:r>
        <w:br w:type="page"/>
      </w:r>
    </w:p>
    <w:tbl>
      <w:tblPr>
        <w:tblStyle w:val="Grilledutableau"/>
        <w:tblW w:w="9948" w:type="dxa"/>
        <w:jc w:val="left"/>
        <w:tblInd w:w="-426" w:type="dxa"/>
        <w:tblLayout w:type="fixed"/>
        <w:tblCellMar>
          <w:top w:w="0" w:type="dxa"/>
          <w:left w:w="108" w:type="dxa"/>
          <w:bottom w:w="0" w:type="dxa"/>
          <w:right w:w="108" w:type="dxa"/>
        </w:tblCellMar>
        <w:tblLook w:firstRow="1" w:noVBand="1" w:lastRow="0" w:firstColumn="1" w:lastColumn="0" w:noHBand="0" w:val="04a0"/>
      </w:tblPr>
      <w:tblGrid>
        <w:gridCol w:w="4109"/>
        <w:gridCol w:w="865"/>
        <w:gridCol w:w="718"/>
        <w:gridCol w:w="2388"/>
        <w:gridCol w:w="1867"/>
      </w:tblGrid>
      <w:tr>
        <w:trPr>
          <w:trHeight w:val="490" w:hRule="atLeast"/>
        </w:trPr>
        <w:tc>
          <w:tcPr>
            <w:tcW w:w="4974" w:type="dxa"/>
            <w:gridSpan w:val="2"/>
            <w:tcBorders>
              <w:top w:val="nil"/>
              <w:left w:val="nil"/>
              <w:right w:val="nil"/>
            </w:tcBorders>
          </w:tcPr>
          <w:p>
            <w:pPr>
              <w:pStyle w:val="Normal"/>
              <w:pageBreakBefore/>
              <w:widowControl/>
              <w:suppressAutoHyphens w:val="true"/>
              <w:spacing w:before="0" w:after="100"/>
              <w:contextualSpacing/>
              <w:rPr>
                <w:b/>
                <w:color w:val="auto"/>
                <w:szCs w:val="20"/>
              </w:rPr>
            </w:pPr>
            <w:r>
              <w:rPr>
                <w:b/>
                <w:color w:themeColor="text2" w:themeShade="80" w:val="auto"/>
                <w:szCs w:val="20"/>
              </w:rPr>
            </w:r>
          </w:p>
        </w:tc>
        <w:tc>
          <w:tcPr>
            <w:tcW w:w="4973" w:type="dxa"/>
            <w:gridSpan w:val="3"/>
            <w:tcBorders>
              <w:top w:val="nil"/>
              <w:left w:val="nil"/>
              <w:right w:val="nil"/>
            </w:tcBorders>
          </w:tcPr>
          <w:p>
            <w:pPr>
              <w:pStyle w:val="Normal"/>
              <w:widowControl/>
              <w:suppressAutoHyphens w:val="true"/>
              <w:spacing w:before="0" w:after="100"/>
              <w:contextualSpacing/>
              <w:rPr>
                <w:color w:val="auto"/>
                <w:szCs w:val="20"/>
              </w:rPr>
            </w:pPr>
            <w:r>
              <w:rPr>
                <w:color w:themeColor="text2" w:themeShade="80" w:val="auto"/>
                <w:szCs w:val="20"/>
              </w:rPr>
            </w:r>
          </w:p>
        </w:tc>
      </w:tr>
      <w:tr>
        <w:trPr>
          <w:trHeight w:val="600" w:hRule="atLeast"/>
        </w:trPr>
        <w:tc>
          <w:tcPr>
            <w:tcW w:w="9947" w:type="dxa"/>
            <w:gridSpan w:val="5"/>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Description de la chaîne de production et d'approvisionnement</w:t>
            </w:r>
          </w:p>
        </w:tc>
      </w:tr>
      <w:tr>
        <w:trPr>
          <w:trHeight w:val="600"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gridSpan w:val="2"/>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5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sites d'extraction minière</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i/>
                <w:i/>
                <w:iCs/>
                <w:color w:val="auto"/>
                <w:szCs w:val="20"/>
              </w:rPr>
            </w:pPr>
            <w:r>
              <w:rPr>
                <w:rFonts w:eastAsia="Calibri" w:cs="Arial" w:ascii="Arial" w:hAnsi="Arial"/>
                <w:i/>
                <w:iCs/>
                <w:color w:themeColor="text2" w:themeShade="80" w:val="auto"/>
                <w:kern w:val="0"/>
                <w:szCs w:val="20"/>
                <w:lang w:val="fr-FR" w:eastAsia="en-US" w:bidi="ar-SA"/>
              </w:rPr>
              <w:t>Si plusieurs sites, en préciser le nombre et les différentes implantations géographiques</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8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peut-il garantir que les minerais ne sont pas issus de zones de conflit?</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quelle solution le candidat prévoit-il d'adopter?</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327"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 fabrication des composants informatiques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cPr>
          <w:p>
            <w:pPr>
              <w:pStyle w:val="Normal"/>
              <w:widowControl/>
              <w:suppressAutoHyphens w:val="true"/>
              <w:spacing w:before="0" w:after="100"/>
              <w:contextualSpacing/>
              <w:jc w:val="left"/>
              <w:rPr>
                <w:rFonts w:ascii="Arial" w:hAnsi="Arial" w:cs="Arial"/>
                <w:szCs w:val="20"/>
              </w:rPr>
            </w:pPr>
            <w:r>
              <w:rPr>
                <w:rFonts w:cs="Arial" w:ascii="Arial" w:hAnsi="Arial"/>
                <w:szCs w:val="20"/>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81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d'assemblage des solutions d’impression</w:t>
            </w:r>
          </w:p>
          <w:p>
            <w:pPr>
              <w:pStyle w:val="Normal"/>
              <w:widowControl/>
              <w:suppressAutoHyphens w:val="true"/>
              <w:spacing w:before="0" w:after="100"/>
              <w:contextualSpacing/>
              <w:jc w:val="left"/>
              <w:rPr>
                <w:rFonts w:ascii="Arial" w:hAnsi="Arial" w:cs="Arial"/>
                <w:i/>
                <w:i/>
                <w:color w:val="auto"/>
                <w:szCs w:val="20"/>
              </w:rPr>
            </w:pPr>
            <w:r>
              <w:rPr>
                <w:rFonts w:cs="Arial" w:ascii="Arial" w:hAnsi="Arial"/>
                <w:i/>
                <w:color w:themeColor="text2" w:themeShade="80" w:val="auto"/>
                <w:szCs w:val="20"/>
              </w:rPr>
            </w:r>
          </w:p>
          <w:p>
            <w:pPr>
              <w:pStyle w:val="Normal"/>
              <w:widowControl/>
              <w:suppressAutoHyphens w:val="true"/>
              <w:spacing w:before="0" w:after="100"/>
              <w:contextualSpacing/>
              <w:jc w:val="left"/>
              <w:rPr>
                <w:rFonts w:ascii="Arial" w:hAnsi="Arial" w:cs="Arial"/>
                <w:i/>
                <w:i/>
                <w:color w:val="auto"/>
                <w:szCs w:val="20"/>
              </w:rPr>
            </w:pPr>
            <w:r>
              <w:rPr>
                <w:rFonts w:eastAsia="Calibri" w:cs="Arial" w:ascii="Arial" w:hAnsi="Arial"/>
                <w:i/>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 par famille de produits</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10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autres stades de la chaîne de production</w:t>
            </w:r>
          </w:p>
          <w:p>
            <w:pPr>
              <w:pStyle w:val="Normal"/>
              <w:widowControl/>
              <w:suppressAutoHyphens w:val="true"/>
              <w:spacing w:before="0" w:after="100"/>
              <w:contextualSpacing/>
              <w:jc w:val="left"/>
              <w:rPr>
                <w:rFonts w:ascii="Arial" w:hAnsi="Arial" w:cs="Arial"/>
                <w:i/>
                <w:i/>
                <w:iCs/>
                <w:color w:val="auto"/>
                <w:szCs w:val="20"/>
              </w:rPr>
            </w:pPr>
            <w:r>
              <w:rPr>
                <w:rFonts w:cs="Arial" w:ascii="Arial" w:hAnsi="Arial"/>
                <w:i/>
                <w:iCs/>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99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Nombre de fournisseurs pour une même chaîne d'approvisionnement (depuis la fabrication jusqu'à la livraison au titulaire)</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6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 1 (fournisseurs directs)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rangs, 2, 3 etc…(fournisseurs de fournisseurs)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109"/>
        <w:gridCol w:w="1583"/>
        <w:gridCol w:w="2388"/>
        <w:gridCol w:w="1867"/>
      </w:tblGrid>
      <w:tr>
        <w:trPr>
          <w:trHeight w:val="750" w:hRule="atLeast"/>
        </w:trPr>
        <w:tc>
          <w:tcPr>
            <w:tcW w:w="4109"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op w:val="nil"/>
              <w:left w:val="nil"/>
              <w:right w:val="nil"/>
            </w:tcBorders>
          </w:tcPr>
          <w:p>
            <w:pPr>
              <w:pStyle w:val="Normal"/>
              <w:widowControl/>
              <w:suppressAutoHyphens w:val="true"/>
              <w:spacing w:before="0" w:after="100"/>
              <w:contextualSpacing/>
              <w:jc w:val="left"/>
              <w:rPr>
                <w:rFonts w:ascii="Arial" w:hAnsi="Arial" w:cs="Arial"/>
                <w:b/>
                <w:bCs/>
                <w:color w:val="auto"/>
                <w:szCs w:val="20"/>
              </w:rPr>
            </w:pPr>
            <w:r>
              <w:rPr>
                <w:rFonts w:cs="Arial" w:ascii="Arial" w:hAnsi="Arial"/>
                <w:b/>
                <w:bCs/>
                <w:color w:themeColor="text2" w:themeShade="80" w:val="auto"/>
                <w:szCs w:val="20"/>
              </w:rPr>
            </w:r>
          </w:p>
        </w:tc>
        <w:tc>
          <w:tcPr>
            <w:tcW w:w="1867"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645" w:hRule="atLeast"/>
        </w:trPr>
        <w:tc>
          <w:tcPr>
            <w:tcW w:w="9947" w:type="dxa"/>
            <w:gridSpan w:val="4"/>
            <w:tcBorders/>
          </w:tcPr>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Transparence et fiabilité des informations</w:t>
            </w:r>
          </w:p>
        </w:tc>
      </w:tr>
      <w:tr>
        <w:trPr>
          <w:trHeight w:val="645"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357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mis en place un système de traçabilité et de contrôle de sa chaîne d'approvisionnement et/ou  de celle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décrire le système de vérification: nature de l'organisme qui conduit les vérifications ou l'audit, nature des sites ciblés par la vérification, nature des éléments vérifiés, fréquence des vérifications, nature des documents produits après les vérifications, etc</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Le candidat précisera en quoi le système de traçabilité mis en place peut-il être considéré comme transparent et indépendant</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265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En cas de constatation de situations de violation des conventions fondamentales relatives aux droits humains au travail, le candidat engage-t-il un plan d'actions correctives?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le candidat peut-il donner des illustrations?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démarche est-elle en cours de définition/validation?</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6" w:type="dxa"/>
        <w:tblLayout w:type="fixed"/>
        <w:tblCellMar>
          <w:top w:w="0" w:type="dxa"/>
          <w:left w:w="108" w:type="dxa"/>
          <w:bottom w:w="0" w:type="dxa"/>
          <w:right w:w="108" w:type="dxa"/>
        </w:tblCellMar>
        <w:tblLook w:firstRow="1" w:noVBand="1" w:lastRow="0" w:firstColumn="1" w:lastColumn="0" w:noHBand="0" w:val="04a0"/>
      </w:tblPr>
      <w:tblGrid>
        <w:gridCol w:w="4077"/>
        <w:gridCol w:w="1650"/>
        <w:gridCol w:w="2368"/>
        <w:gridCol w:w="1852"/>
      </w:tblGrid>
      <w:tr>
        <w:trPr>
          <w:trHeight w:val="697" w:hRule="atLeast"/>
        </w:trPr>
        <w:tc>
          <w:tcPr>
            <w:tcW w:w="4077"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650"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68"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c>
          <w:tcPr>
            <w:tcW w:w="1852"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615" w:hRule="atLeast"/>
        </w:trPr>
        <w:tc>
          <w:tcPr>
            <w:tcW w:w="9947" w:type="dxa"/>
            <w:gridSpan w:val="4"/>
            <w:tcBorders/>
          </w:tcPr>
          <w:p>
            <w:pPr>
              <w:pStyle w:val="Normal"/>
              <w:widowControl/>
              <w:suppressAutoHyphens w:val="true"/>
              <w:spacing w:before="0" w:after="100"/>
              <w:contextualSpacing/>
              <w:jc w:val="center"/>
              <w:rPr>
                <w:rFonts w:ascii="Arial" w:hAnsi="Arial" w:cs="Arial"/>
                <w:b/>
                <w:bCs/>
                <w:color w:val="auto"/>
                <w:szCs w:val="20"/>
              </w:rPr>
            </w:pPr>
            <w:r>
              <w:rPr>
                <w:rFonts w:cs="Arial" w:ascii="Arial" w:hAnsi="Arial"/>
                <w:b/>
                <w:bCs/>
                <w:color w:themeColor="text2" w:themeShade="80" w:val="auto"/>
                <w:szCs w:val="20"/>
              </w:rPr>
            </w:r>
          </w:p>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Formalisation d'une démarche de responsabilité sociale</w:t>
            </w:r>
          </w:p>
        </w:tc>
      </w:tr>
      <w:tr>
        <w:trPr>
          <w:trHeight w:val="615" w:hRule="atLeast"/>
        </w:trPr>
        <w:tc>
          <w:tcPr>
            <w:tcW w:w="407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650"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6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52"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29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soumis aux obligations de la loi relative au devoir de vigilance des sociétés mères et des entreprises donneuses d'ordre (loi n°2017-399 du 27 mars 2017)</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oui/non</w:t>
              <w:br/>
              <w:t>si oui, décrire actions entreprises et communiquer le plan de vigilance adopté (ou un lien de téléchargement) ainsi que le dernier rapport annuel de suivi</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02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membre d'une initiative multipartite ou d'une organisation engagée en faveur du respect des droits humains fondamentaux au travail?</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(mentionner l’initiative et fournir le justificatif d’adhésion)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300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défini et formalisé une stratégie en matière de responsabilité sociale et sociétale en direction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stratégie est-elle en cours de définition/validation?</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p>
    <w:p>
      <w:pPr>
        <w:pStyle w:val="EndnoteText"/>
        <w:rPr>
          <w:rFonts w:ascii="Arial" w:hAnsi="Arial" w:cs="Arial"/>
          <w:color w:val="auto"/>
        </w:rPr>
      </w:pPr>
      <w:r>
        <w:rPr>
          <w:rFonts w:cs="Arial" w:ascii="Arial" w:hAnsi="Arial"/>
          <w:color w:themeColor="text2" w:themeShade="80" w:val="auto"/>
        </w:rPr>
      </w:r>
    </w:p>
    <w:p>
      <w:pPr>
        <w:pStyle w:val="Normal"/>
        <w:spacing w:before="0" w:after="100"/>
        <w:contextualSpacing/>
        <w:rPr>
          <w:rFonts w:ascii="Arial" w:hAnsi="Arial" w:cs="Arial"/>
          <w:szCs w:val="20"/>
        </w:rPr>
      </w:pPr>
      <w:r>
        <w:rPr>
          <w:rFonts w:cs="Arial" w:ascii="Arial" w:hAnsi="Arial"/>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276"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Segoe UI">
    <w:charset w:val="01"/>
    <w:family w:val="auto"/>
    <w:pitch w:val="default"/>
  </w:font>
  <w:font w:name="Liberation Sans">
    <w:altName w:val="Arial"/>
    <w:charset w:val="01"/>
    <w:family w:val="auto"/>
    <w:pitch w:val="default"/>
  </w:font>
  <w:font w:name="Times New Roman">
    <w:charset w:val="01"/>
    <w:family w:val="auto"/>
    <w:pitch w:val="default"/>
  </w:font>
  <w:font w:name="Arial">
    <w:charset w:val="01"/>
    <w:family w:val="auto"/>
    <w:pitch w:val="default"/>
  </w:font>
  <w:font w:name="MS Gothic">
    <w:charset w:val="01"/>
    <w:family w:val="auto"/>
    <w:pitch w:val="default"/>
  </w:font>
  <w:font w:name="Segoe UI Symbol">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Arial" w:hAnsi="Arial" w:eastAsia="Times New Roman" w:cs="Arial"/>
        <w:b/>
        <w:bCs/>
        <w:szCs w:val="20"/>
        <w:lang w:eastAsia="fr-FR"/>
      </w:rPr>
    </w:pPr>
    <w:r>
      <w:rPr>
        <w:rFonts w:eastAsia="Times New Roman" w:cs="Arial" w:ascii="Arial" w:hAnsi="Arial"/>
        <w:b/>
        <w:bCs/>
        <w:szCs w:val="20"/>
        <w:lang w:eastAsia="fr-FR"/>
      </w:rPr>
      <w:t>DAE-2025-PFRA-SOLIMPROD2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1_Annexe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Arial" w:hAnsi="Arial" w:eastAsia="Times New Roman" w:cs="Arial"/>
        <w:b/>
        <w:bCs/>
        <w:szCs w:val="20"/>
        <w:lang w:eastAsia="fr-FR"/>
      </w:rPr>
    </w:pPr>
    <w:r>
      <w:rPr>
        <w:rFonts w:eastAsia="Times New Roman" w:cs="Arial" w:ascii="Arial" w:hAnsi="Arial"/>
        <w:b/>
        <w:bCs/>
        <w:szCs w:val="20"/>
        <w:lang w:eastAsia="fr-FR"/>
      </w:rPr>
      <w:t>DAE-2025-PFRA-SOLIMPROD2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1_Annexe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r>
  </w:p>
  <w:p>
    <w:pPr>
      <w:pStyle w:val="BodyText"/>
      <w:rPr/>
    </w:pPr>
    <w:r>
      <w:rPr/>
    </w:r>
  </w:p>
  <w:p>
    <w:pPr>
      <w:pStyle w:val="BodyText"/>
      <w:rPr/>
    </w:pPr>
    <w:r>
      <w:rPr/>
      <w:drawing>
        <wp:anchor behindDoc="1" distT="0" distB="0" distL="0" distR="0" simplePos="0" locked="0" layoutInCell="0" allowOverlap="1" relativeHeight="6">
          <wp:simplePos x="0" y="0"/>
          <wp:positionH relativeFrom="column">
            <wp:posOffset>-536575</wp:posOffset>
          </wp:positionH>
          <wp:positionV relativeFrom="paragraph">
            <wp:posOffset>-117475</wp:posOffset>
          </wp:positionV>
          <wp:extent cx="1160145" cy="852805"/>
          <wp:effectExtent l="0" t="0" r="0" b="0"/>
          <wp:wrapSquare wrapText="largest"/>
          <wp:docPr id="1"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descr=""/>
                  <pic:cNvPicPr>
                    <a:picLocks noChangeAspect="1" noChangeArrowheads="1"/>
                  </pic:cNvPicPr>
                </pic:nvPicPr>
                <pic:blipFill>
                  <a:blip r:embed="rId1"/>
                  <a:stretch>
                    <a:fillRect/>
                  </a:stretch>
                </pic:blipFill>
                <pic:spPr bwMode="auto">
                  <a:xfrm>
                    <a:off x="0" y="0"/>
                    <a:ext cx="1160145" cy="852805"/>
                  </a:xfrm>
                  <a:prstGeom prst="rect">
                    <a:avLst/>
                  </a:prstGeom>
                </pic:spPr>
              </pic:pic>
            </a:graphicData>
          </a:graphic>
        </wp:anchor>
      </w:drawing>
    </w:r>
  </w:p>
  <w:p>
    <w:pPr>
      <w:pStyle w:val="Normal"/>
      <w:tabs>
        <w:tab w:val="clear" w:pos="708"/>
        <w:tab w:val="right" w:pos="9026" w:leader="none"/>
      </w:tabs>
      <w:jc w:val="right"/>
      <w:rPr>
        <w:b/>
        <w:bCs/>
        <w:sz w:val="24"/>
        <w:szCs w:val="24"/>
      </w:rPr>
    </w:pP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b/>
        <w:bCs/>
        <w:sz w:val="24"/>
        <w:szCs w:val="24"/>
      </w:rPr>
    </w:pPr>
    <w:r>
      <w:rPr>
        <w:rFonts w:eastAsia="Andale Sans UI;Arial Unicode MS" w:cs="Marianne"/>
        <w:b/>
        <w:bCs/>
        <w:color w:val="auto"/>
        <w:kern w:val="2"/>
        <w:sz w:val="26"/>
        <w:szCs w:val="26"/>
        <w:lang w:val="fr-FR" w:eastAsia="ja-JP" w:bidi="fa-IR"/>
      </w:rPr>
      <w:t>pour les affaires régionales</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r>
  </w:p>
  <w:p>
    <w:pPr>
      <w:pStyle w:val="BodyText"/>
      <w:rPr/>
    </w:pPr>
    <w:r>
      <w:rPr/>
    </w:r>
  </w:p>
  <w:p>
    <w:pPr>
      <w:pStyle w:val="BodyText"/>
      <w:rPr/>
    </w:pPr>
    <w:r>
      <w:rPr/>
      <w:drawing>
        <wp:anchor behindDoc="1" distT="0" distB="0" distL="0" distR="0" simplePos="0" locked="0" layoutInCell="0" allowOverlap="1" relativeHeight="6">
          <wp:simplePos x="0" y="0"/>
          <wp:positionH relativeFrom="column">
            <wp:posOffset>-536575</wp:posOffset>
          </wp:positionH>
          <wp:positionV relativeFrom="paragraph">
            <wp:posOffset>-117475</wp:posOffset>
          </wp:positionV>
          <wp:extent cx="1160145" cy="852805"/>
          <wp:effectExtent l="0" t="0" r="0" b="0"/>
          <wp:wrapSquare wrapText="largest"/>
          <wp:docPr id="2"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Copie 1 Copie 1" descr=""/>
                  <pic:cNvPicPr>
                    <a:picLocks noChangeAspect="1" noChangeArrowheads="1"/>
                  </pic:cNvPicPr>
                </pic:nvPicPr>
                <pic:blipFill>
                  <a:blip r:embed="rId1"/>
                  <a:stretch>
                    <a:fillRect/>
                  </a:stretch>
                </pic:blipFill>
                <pic:spPr bwMode="auto">
                  <a:xfrm>
                    <a:off x="0" y="0"/>
                    <a:ext cx="1160145" cy="852805"/>
                  </a:xfrm>
                  <a:prstGeom prst="rect">
                    <a:avLst/>
                  </a:prstGeom>
                </pic:spPr>
              </pic:pic>
            </a:graphicData>
          </a:graphic>
        </wp:anchor>
      </w:drawing>
    </w:r>
  </w:p>
  <w:p>
    <w:pPr>
      <w:pStyle w:val="Normal"/>
      <w:tabs>
        <w:tab w:val="clear" w:pos="708"/>
        <w:tab w:val="right" w:pos="9026" w:leader="none"/>
      </w:tabs>
      <w:jc w:val="right"/>
      <w:rPr>
        <w:b/>
        <w:bCs/>
        <w:sz w:val="24"/>
        <w:szCs w:val="24"/>
      </w:rPr>
    </w:pP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b/>
        <w:bCs/>
        <w:sz w:val="24"/>
        <w:szCs w:val="24"/>
      </w:rPr>
    </w:pPr>
    <w:r>
      <w:rPr>
        <w:rFonts w:eastAsia="Andale Sans UI;Arial Unicode MS" w:cs="Marianne"/>
        <w:b/>
        <w:bCs/>
        <w:color w:val="auto"/>
        <w:kern w:val="2"/>
        <w:sz w:val="26"/>
        <w:szCs w:val="26"/>
        <w:lang w:val="fr-FR" w:eastAsia="ja-JP" w:bidi="fa-IR"/>
      </w:rPr>
      <w:t>pour les affaires régionales</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100"/>
      <w:contextualSpacing/>
      <w:jc w:val="both"/>
    </w:pPr>
    <w:rPr>
      <w:rFonts w:ascii="Marianne" w:hAnsi="Marianne" w:eastAsia="Calibri" w:cs=""/>
      <w:color w:themeColor="text2" w:themeShade="80" w:val="222A35"/>
      <w:kern w:val="0"/>
      <w:sz w:val="20"/>
      <w:szCs w:val="22"/>
      <w:lang w:val="fr-FR" w:eastAsia="en-US" w:bidi="ar-SA"/>
    </w:rPr>
  </w:style>
  <w:style w:type="character" w:styleId="DefaultParagraphFont" w:default="1">
    <w:name w:val="Default Paragraph Font"/>
    <w:uiPriority w:val="1"/>
    <w:semiHidden/>
    <w:unhideWhenUsed/>
    <w:qFormat/>
    <w:rPr/>
  </w:style>
  <w:style w:type="character" w:styleId="NotedefinCar" w:customStyle="1">
    <w:name w:val="Note de fin Car"/>
    <w:basedOn w:val="DefaultParagraphFont"/>
    <w:uiPriority w:val="99"/>
    <w:semiHidden/>
    <w:qFormat/>
    <w:rPr>
      <w:rFonts w:ascii="Marianne" w:hAnsi="Marianne"/>
      <w:color w:themeColor="text2" w:themeShade="80" w:val="222A35"/>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rFonts w:ascii="Marianne" w:hAnsi="Marianne"/>
      <w:color w:themeColor="text2" w:themeShade="80" w:val="222A35"/>
      <w:sz w:val="20"/>
      <w:szCs w:val="20"/>
    </w:rPr>
  </w:style>
  <w:style w:type="character" w:styleId="ObjetducommentaireCar" w:customStyle="1">
    <w:name w:val="Objet du commentaire Car"/>
    <w:basedOn w:val="CommentaireCar"/>
    <w:link w:val="annotationsubject"/>
    <w:uiPriority w:val="99"/>
    <w:semiHidden/>
    <w:qFormat/>
    <w:rPr>
      <w:rFonts w:ascii="Marianne" w:hAnsi="Marianne"/>
      <w:b/>
      <w:bCs/>
      <w:color w:themeColor="text2" w:themeShade="80" w:val="222A35"/>
      <w:sz w:val="20"/>
      <w:szCs w:val="20"/>
    </w:rPr>
  </w:style>
  <w:style w:type="character" w:styleId="TextedebullesCar" w:customStyle="1">
    <w:name w:val="Texte de bulles Car"/>
    <w:basedOn w:val="DefaultParagraphFont"/>
    <w:link w:val="BalloonText"/>
    <w:uiPriority w:val="99"/>
    <w:semiHidden/>
    <w:qFormat/>
    <w:rPr>
      <w:rFonts w:ascii="Segoe UI" w:hAnsi="Segoe UI" w:cs="Segoe UI"/>
      <w:color w:themeColor="text2" w:themeShade="80" w:val="222A35"/>
      <w:sz w:val="18"/>
      <w:szCs w:val="18"/>
    </w:rPr>
  </w:style>
  <w:style w:type="character" w:styleId="En-tteCar" w:customStyle="1">
    <w:name w:val="En-tête Car"/>
    <w:basedOn w:val="DefaultParagraphFont"/>
    <w:uiPriority w:val="99"/>
    <w:qFormat/>
    <w:rPr>
      <w:rFonts w:ascii="Marianne" w:hAnsi="Marianne"/>
      <w:color w:themeColor="text2" w:themeShade="80" w:val="222A35"/>
      <w:sz w:val="20"/>
    </w:rPr>
  </w:style>
  <w:style w:type="character" w:styleId="PieddepageCar" w:customStyle="1">
    <w:name w:val="Pied de page Car"/>
    <w:basedOn w:val="DefaultParagraphFont"/>
    <w:uiPriority w:val="99"/>
    <w:qFormat/>
    <w:rPr>
      <w:rFonts w:ascii="Marianne" w:hAnsi="Marianne"/>
      <w:color w:themeColor="text2" w:themeShade="80" w:val="222A35"/>
      <w:sz w:val="2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InternetLink">
    <w:name w:val="Internet Link"/>
    <w:basedOn w:val="DefaultParagraphFont"/>
    <w:uiPriority w:val="99"/>
    <w:unhideWhenUsed/>
    <w:qFormat/>
    <w:rPr>
      <w:color w:themeColor="hyperlink" w:val="0563C1"/>
      <w:u w:val="single"/>
    </w:rPr>
  </w:style>
  <w:style w:type="character" w:styleId="FollowedHyperlink">
    <w:name w:val="FollowedHyperlink"/>
    <w:basedOn w:val="DefaultParagraphFont"/>
    <w:uiPriority w:val="99"/>
    <w:semiHidden/>
    <w:unhideWhenUsed/>
    <w:rPr>
      <w:color w:themeColor="followedHyperlink" w:val="954F72"/>
      <w:u w:val="single"/>
    </w:rPr>
  </w:style>
  <w:style w:type="character" w:styleId="StandardCar" w:customStyle="1">
    <w:name w:val="Standard Car"/>
    <w:basedOn w:val="DefaultParagraphFont"/>
    <w:link w:val="Standard"/>
    <w:qFormat/>
    <w:rPr>
      <w:rFonts w:ascii="Times New Roman" w:hAnsi="Times New Roman" w:eastAsia="Times New Roman" w:cs="Times New Roman"/>
      <w:sz w:val="24"/>
      <w:szCs w:val="24"/>
      <w:lang w:eastAsia="zh-CN"/>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color w:themeColor="text2" w:themeShade="80" w:val="auto"/>
      <w:kern w:val="2"/>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EndnoteText">
    <w:name w:val="Endnote Text"/>
    <w:basedOn w:val="Normal"/>
    <w:link w:val="NotedefinCar"/>
    <w:uiPriority w:val="99"/>
    <w:semiHidden/>
    <w:unhideWhenUsed/>
    <w:pPr/>
    <w:rPr>
      <w:szCs w:val="20"/>
    </w:rPr>
  </w:style>
  <w:style w:type="paragraph" w:styleId="AnnotationText">
    <w:name w:val="Annotation Text"/>
    <w:basedOn w:val="Normal"/>
    <w:link w:val="CommentaireCar"/>
    <w:uiPriority w:val="99"/>
    <w:semiHidden/>
    <w:unhideWhenUsed/>
    <w:pPr/>
    <w:rPr>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before="0" w:after="0"/>
      <w:contextualSpacing/>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8"/>
        <w:tab w:val="center" w:pos="4536" w:leader="none"/>
        <w:tab w:val="right" w:pos="9072" w:leader="none"/>
      </w:tabs>
      <w:spacing w:before="0" w:after="0"/>
      <w:contextualSpacing/>
    </w:pPr>
    <w:rPr/>
  </w:style>
  <w:style w:type="paragraph" w:styleId="Footer">
    <w:name w:val="Footer"/>
    <w:basedOn w:val="Normal"/>
    <w:link w:val="PieddepageCar"/>
    <w:uiPriority w:val="99"/>
    <w:unhideWhenUsed/>
    <w:pPr>
      <w:tabs>
        <w:tab w:val="clear" w:pos="708"/>
        <w:tab w:val="center" w:pos="4536" w:leader="none"/>
        <w:tab w:val="right" w:pos="9072" w:leader="none"/>
      </w:tabs>
      <w:spacing w:before="0" w:after="0"/>
      <w:contextualSpacing/>
    </w:pPr>
    <w:rPr/>
  </w:style>
  <w:style w:type="paragraph" w:styleId="Standard" w:customStyle="1">
    <w:name w:val="Standard"/>
    <w:link w:val="StandardCar"/>
    <w:qFormat/>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fr-FR" w:eastAsia="zh-CN"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france.gouv.fr/affichTexte.do?cidTexte=JORFTEXT000034290626&amp;categorieLien=i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854</Words>
  <Characters>5252</Characters>
  <CharactersWithSpaces>6031</CharactersWithSpaces>
  <Paragraphs>82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2026-02-13T14:32:49Z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2026-02-13T14:31:47,693000000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